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F2AF2" w:rsidRDefault="004F2AF2"/>
    <w:p w:rsidR="004F2AF2" w:rsidRDefault="004F2AF2"/>
    <w:p w:rsidR="004F2AF2" w:rsidRDefault="004F2AF2"/>
    <w:p w:rsidR="004F2AF2" w:rsidRDefault="004F2AF2"/>
    <w:tbl>
      <w:tblPr>
        <w:tblOverlap w:val="never"/>
        <w:tblW w:w="0" w:type="auto"/>
        <w:jc w:val="righ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8"/>
        <w:gridCol w:w="1906"/>
        <w:gridCol w:w="1718"/>
      </w:tblGrid>
      <w:tr w:rsidR="004F2AF2" w:rsidRPr="004F2AF2" w:rsidTr="004F2AF2">
        <w:tblPrEx>
          <w:tblCellMar>
            <w:top w:w="0" w:type="dxa"/>
            <w:bottom w:w="0" w:type="dxa"/>
          </w:tblCellMar>
        </w:tblPrEx>
        <w:trPr>
          <w:trHeight w:hRule="exact" w:val="206"/>
          <w:tblHeader/>
          <w:jc w:val="right"/>
        </w:trPr>
        <w:tc>
          <w:tcPr>
            <w:tcW w:w="158" w:type="dxa"/>
          </w:tcPr>
          <w:p w:rsidR="004F2AF2" w:rsidRPr="004F2AF2" w:rsidRDefault="004F2AF2" w:rsidP="004F2AF2">
            <w:pPr>
              <w:rPr>
                <w:sz w:val="10"/>
                <w:szCs w:val="10"/>
              </w:rPr>
            </w:pPr>
          </w:p>
        </w:tc>
        <w:tc>
          <w:tcPr>
            <w:tcW w:w="1906" w:type="dxa"/>
          </w:tcPr>
          <w:p w:rsidR="004F2AF2" w:rsidRPr="004F2AF2" w:rsidRDefault="004F2AF2" w:rsidP="004F2AF2">
            <w:pPr>
              <w:rPr>
                <w:sz w:val="10"/>
                <w:szCs w:val="10"/>
              </w:rPr>
            </w:pPr>
          </w:p>
        </w:tc>
        <w:tc>
          <w:tcPr>
            <w:tcW w:w="1718" w:type="dxa"/>
          </w:tcPr>
          <w:p w:rsidR="004F2AF2" w:rsidRPr="004F2AF2" w:rsidRDefault="004F2AF2" w:rsidP="004F2AF2">
            <w:pPr>
              <w:rPr>
                <w:color w:val="auto"/>
                <w:sz w:val="14"/>
                <w:szCs w:val="14"/>
                <w:rFonts w:ascii="Arial" w:eastAsia="Arial" w:hAnsi="Arial" w:cs="Arial"/>
              </w:rPr>
            </w:pPr>
            <w:r>
              <w:rPr>
                <w:color w:val="auto"/>
                <w:sz w:val="14"/>
                <w:rFonts w:ascii="Arial" w:hAnsi="Arial"/>
              </w:rPr>
              <w:t xml:space="preserve">СЪВЕТ НА ЕВРОПА</w:t>
            </w:r>
          </w:p>
        </w:tc>
      </w:tr>
      <w:tr w:rsidR="004F2AF2" w:rsidRPr="004F2AF2" w:rsidTr="004F2AF2">
        <w:tblPrEx>
          <w:tblCellMar>
            <w:top w:w="0" w:type="dxa"/>
            <w:bottom w:w="0" w:type="dxa"/>
          </w:tblCellMar>
        </w:tblPrEx>
        <w:trPr>
          <w:trHeight w:hRule="exact" w:val="965"/>
          <w:jc w:val="right"/>
        </w:trPr>
        <w:tc>
          <w:tcPr>
            <w:tcW w:w="158" w:type="dxa"/>
          </w:tcPr>
          <w:p w:rsidR="004F2AF2" w:rsidRPr="004F2AF2" w:rsidRDefault="004F2AF2" w:rsidP="004F2AF2">
            <w:pPr>
              <w:rPr>
                <w:sz w:val="2"/>
                <w:szCs w:val="2"/>
              </w:rPr>
            </w:pPr>
            <w:r>
              <w:drawing>
                <wp:inline distT="0" distB="0" distL="0" distR="0" wp14:anchorId="233267DA" wp14:editId="5FC6EC49">
                  <wp:extent cx="103505" cy="615950"/>
                  <wp:effectExtent l="0" t="0" r="0" b="0"/>
                  <wp:docPr id="1816189829" name="Picut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7"/>
                          <a:stretch/>
                        </pic:blipFill>
                        <pic:spPr>
                          <a:xfrm>
                            <a:off x="0" y="0"/>
                            <a:ext cx="103505" cy="615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6" w:type="dxa"/>
            <w:tcBorders>
              <w:left w:val="single" w:sz="4" w:space="0" w:color="auto"/>
            </w:tcBorders>
            <w:vAlign w:val="bottom"/>
          </w:tcPr>
          <w:p w:rsidR="004F2AF2" w:rsidRPr="004F2AF2" w:rsidRDefault="004F2AF2" w:rsidP="004F2AF2">
            <w:pPr>
              <w:spacing w:after="60" w:line="192" w:lineRule="auto"/>
              <w:ind w:left="240"/>
              <w:rPr>
                <w:color w:val="auto"/>
                <w:sz w:val="19"/>
                <w:szCs w:val="19"/>
                <w:rFonts w:ascii="Arial" w:eastAsia="Arial" w:hAnsi="Arial" w:cs="Arial"/>
              </w:rPr>
            </w:pPr>
            <w:r>
              <w:rPr>
                <w:color w:val="auto"/>
                <w:sz w:val="19"/>
                <w:rFonts w:ascii="Tahoma" w:hAnsi="Tahoma"/>
              </w:rPr>
              <w:t xml:space="preserve">КОМИТЕТ НА МИНИСТРИТЕ</w:t>
            </w:r>
          </w:p>
          <w:p w:rsidR="004F2AF2" w:rsidRPr="004F2AF2" w:rsidRDefault="004F2AF2" w:rsidP="004F2AF2">
            <w:pPr>
              <w:spacing w:line="192" w:lineRule="auto"/>
              <w:ind w:firstLine="240"/>
              <w:rPr>
                <w:color w:val="auto"/>
                <w:sz w:val="19"/>
                <w:szCs w:val="19"/>
                <w:rFonts w:ascii="Arial" w:eastAsia="Arial" w:hAnsi="Arial" w:cs="Arial"/>
              </w:rPr>
            </w:pPr>
            <w:r>
              <w:rPr>
                <w:color w:val="auto"/>
                <w:sz w:val="19"/>
                <w:rFonts w:ascii="Tahoma" w:hAnsi="Tahoma"/>
              </w:rPr>
              <w:t xml:space="preserve">COMITE</w:t>
            </w:r>
          </w:p>
          <w:p w:rsidR="004F2AF2" w:rsidRPr="004F2AF2" w:rsidRDefault="004F2AF2" w:rsidP="004F2AF2">
            <w:pPr>
              <w:spacing w:line="192" w:lineRule="auto"/>
              <w:ind w:firstLine="240"/>
              <w:rPr>
                <w:color w:val="auto"/>
                <w:sz w:val="19"/>
                <w:szCs w:val="19"/>
                <w:rFonts w:ascii="Arial" w:eastAsia="Arial" w:hAnsi="Arial" w:cs="Arial"/>
              </w:rPr>
            </w:pPr>
            <w:r>
              <w:rPr>
                <w:color w:val="auto"/>
                <w:sz w:val="19"/>
                <w:rFonts w:ascii="Tahoma" w:hAnsi="Tahoma"/>
              </w:rPr>
              <w:t xml:space="preserve">DES MINISTRES</w:t>
            </w:r>
          </w:p>
        </w:tc>
        <w:tc>
          <w:tcPr>
            <w:tcW w:w="1718" w:type="dxa"/>
          </w:tcPr>
          <w:p w:rsidR="004F2AF2" w:rsidRPr="004F2AF2" w:rsidRDefault="004F2AF2" w:rsidP="004F2AF2">
            <w:pPr>
              <w:rPr>
                <w:sz w:val="2"/>
                <w:szCs w:val="2"/>
              </w:rPr>
            </w:pPr>
            <w:r>
              <w:drawing>
                <wp:inline distT="0" distB="0" distL="0" distR="0" wp14:anchorId="6D63A168" wp14:editId="2233FA69">
                  <wp:extent cx="1090930" cy="615950"/>
                  <wp:effectExtent l="0" t="0" r="0" b="0"/>
                  <wp:docPr id="942304468" name="Picut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/>
                        </pic:nvPicPr>
                        <pic:blipFill>
                          <a:blip r:embed="rId8"/>
                          <a:stretch/>
                        </pic:blipFill>
                        <pic:spPr>
                          <a:xfrm>
                            <a:off x="0" y="0"/>
                            <a:ext cx="1090930" cy="615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F2AF2" w:rsidRPr="004F2AF2" w:rsidTr="004F2AF2">
        <w:tblPrEx>
          <w:tblCellMar>
            <w:top w:w="0" w:type="dxa"/>
            <w:bottom w:w="0" w:type="dxa"/>
          </w:tblCellMar>
        </w:tblPrEx>
        <w:trPr>
          <w:trHeight w:hRule="exact" w:val="206"/>
          <w:jc w:val="right"/>
        </w:trPr>
        <w:tc>
          <w:tcPr>
            <w:tcW w:w="158" w:type="dxa"/>
          </w:tcPr>
          <w:p w:rsidR="004F2AF2" w:rsidRPr="004F2AF2" w:rsidRDefault="004F2AF2" w:rsidP="004F2AF2">
            <w:pPr>
              <w:rPr>
                <w:sz w:val="10"/>
                <w:szCs w:val="10"/>
              </w:rPr>
            </w:pPr>
          </w:p>
        </w:tc>
        <w:tc>
          <w:tcPr>
            <w:tcW w:w="1906" w:type="dxa"/>
          </w:tcPr>
          <w:p w:rsidR="004F2AF2" w:rsidRPr="004F2AF2" w:rsidRDefault="004F2AF2" w:rsidP="004F2AF2">
            <w:pPr>
              <w:rPr>
                <w:sz w:val="10"/>
                <w:szCs w:val="10"/>
              </w:rPr>
            </w:pPr>
          </w:p>
        </w:tc>
        <w:tc>
          <w:tcPr>
            <w:tcW w:w="1718" w:type="dxa"/>
            <w:vAlign w:val="bottom"/>
          </w:tcPr>
          <w:p w:rsidR="004F2AF2" w:rsidRPr="004F2AF2" w:rsidRDefault="004F2AF2" w:rsidP="004F2AF2">
            <w:pPr>
              <w:rPr>
                <w:color w:val="auto"/>
                <w:sz w:val="14"/>
                <w:szCs w:val="14"/>
                <w:rFonts w:ascii="Arial" w:eastAsia="Arial" w:hAnsi="Arial" w:cs="Arial"/>
              </w:rPr>
            </w:pPr>
            <w:r>
              <w:rPr>
                <w:color w:val="auto"/>
                <w:sz w:val="14"/>
                <w:rFonts w:ascii="Arial" w:hAnsi="Arial"/>
              </w:rPr>
              <w:t xml:space="preserve">CONSEIL DE L'EUROPE</w:t>
            </w:r>
          </w:p>
        </w:tc>
      </w:tr>
    </w:tbl>
    <w:p w:rsidR="00F93489" w:rsidRPr="00DC6FC3" w:rsidRDefault="00F93489" w:rsidP="00DC6FC3"/>
    <w:p w:rsidR="004F2AF2" w:rsidRPr="00DC6FC3" w:rsidRDefault="004F2AF2" w:rsidP="00DC6FC3"/>
    <w:tbl>
      <w:tblPr>
        <w:tblOverlap w:val="never"/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44"/>
        <w:gridCol w:w="1873"/>
        <w:gridCol w:w="3300"/>
        <w:gridCol w:w="1249"/>
      </w:tblGrid>
      <w:tr w:rsidR="004F2AF2" w:rsidTr="00DC6FC3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1458" w:type="pct"/>
          </w:tcPr>
          <w:p w:rsidR="004F2AF2" w:rsidRDefault="004F2AF2" w:rsidP="004A37FB">
            <w:pPr>
              <w:pStyle w:val="Other0"/>
              <w:spacing w:after="0"/>
              <w:rPr>
                <w:sz w:val="19"/>
                <w:szCs w:val="19"/>
              </w:rPr>
            </w:pPr>
            <w:r>
              <w:rPr>
                <w:rStyle w:val="Other"/>
                <w:b/>
                <w:sz w:val="19"/>
                <w:rFonts w:ascii="Tahoma" w:hAnsi="Tahoma"/>
              </w:rPr>
              <w:t xml:space="preserve">ЗАМЕСТНИК-МИНИСТРИ</w:t>
            </w:r>
          </w:p>
        </w:tc>
        <w:tc>
          <w:tcPr>
            <w:tcW w:w="1033" w:type="pct"/>
          </w:tcPr>
          <w:p w:rsidR="004F2AF2" w:rsidRDefault="004F2AF2" w:rsidP="004A37FB">
            <w:pPr>
              <w:pStyle w:val="Other0"/>
              <w:spacing w:after="0"/>
              <w:ind w:firstLine="300"/>
              <w:rPr>
                <w:sz w:val="19"/>
                <w:szCs w:val="19"/>
              </w:rPr>
            </w:pPr>
            <w:r>
              <w:rPr>
                <w:rStyle w:val="Other"/>
                <w:sz w:val="19"/>
                <w:rFonts w:ascii="Tahoma" w:hAnsi="Tahoma"/>
              </w:rPr>
              <w:t xml:space="preserve">Резолюции</w:t>
            </w:r>
          </w:p>
        </w:tc>
        <w:tc>
          <w:tcPr>
            <w:tcW w:w="1820" w:type="pct"/>
          </w:tcPr>
          <w:p w:rsidR="004F2AF2" w:rsidRDefault="004F2AF2" w:rsidP="004A37FB">
            <w:pPr>
              <w:pStyle w:val="Other0"/>
              <w:spacing w:after="0"/>
              <w:ind w:firstLine="160"/>
              <w:rPr>
                <w:sz w:val="24"/>
                <w:szCs w:val="24"/>
              </w:rPr>
            </w:pPr>
            <w:r>
              <w:rPr>
                <w:rStyle w:val="Other"/>
                <w:b/>
                <w:sz w:val="24"/>
                <w:rFonts w:ascii="Arial Narrow" w:hAnsi="Arial Narrow"/>
              </w:rPr>
              <w:t xml:space="preserve">CM/ResCMN(2026)4</w:t>
            </w:r>
          </w:p>
        </w:tc>
        <w:tc>
          <w:tcPr>
            <w:tcW w:w="689" w:type="pct"/>
          </w:tcPr>
          <w:p w:rsidR="004F2AF2" w:rsidRDefault="004F2AF2" w:rsidP="004A37FB">
            <w:pPr>
              <w:pStyle w:val="Other0"/>
              <w:spacing w:after="0"/>
              <w:jc w:val="center"/>
              <w:rPr>
                <w:sz w:val="14"/>
                <w:szCs w:val="14"/>
              </w:rPr>
            </w:pPr>
            <w:r>
              <w:rPr>
                <w:rStyle w:val="Other"/>
                <w:sz w:val="14"/>
              </w:rPr>
              <w:t xml:space="preserve">04 март 2026 г.</w:t>
            </w:r>
          </w:p>
        </w:tc>
      </w:tr>
    </w:tbl>
    <w:p w:rsidR="004F2AF2" w:rsidRDefault="004F2AF2" w:rsidP="004F2AF2"/>
    <w:p w:rsidR="004F2AF2" w:rsidRDefault="004F2AF2" w:rsidP="004F2AF2"/>
    <w:p w:rsidR="004F2AF2" w:rsidRDefault="004F2AF2" w:rsidP="004F2AF2">
      <w:pPr>
        <w:pStyle w:val="Bodytext80"/>
      </w:pPr>
      <w:r>
        <w:rPr>
          <w:rStyle w:val="Bodytext8"/>
          <w:b/>
        </w:rPr>
        <w:t xml:space="preserve">Резолюция CM/ResCMN(2026)4 относно прилагането на Рамковата конвенция за защита на националните малцинства от България</w:t>
      </w:r>
    </w:p>
    <w:p w:rsidR="004F2AF2" w:rsidRDefault="004F2AF2" w:rsidP="004F2AF2">
      <w:pPr>
        <w:pStyle w:val="Bodytext90"/>
        <w:spacing w:after="0"/>
        <w:rPr>
          <w:rStyle w:val="Bodytext9"/>
          <w:i/>
          <w:iCs/>
        </w:rPr>
      </w:pPr>
      <w:r>
        <w:rPr>
          <w:rStyle w:val="Bodytext9"/>
          <w:i/>
        </w:rPr>
        <w:t xml:space="preserve">(Приета от Комитета на министрите на 4 март 2026 г. на 1552-рото заседание на заместниците на министрите)</w:t>
      </w:r>
    </w:p>
    <w:p w:rsidR="004F2AF2" w:rsidRDefault="004F2AF2" w:rsidP="004F2AF2">
      <w:pPr>
        <w:pStyle w:val="Bodytext90"/>
        <w:spacing w:after="0"/>
        <w:rPr>
          <w:rStyle w:val="Bodytext9"/>
          <w:i/>
          <w:iCs/>
        </w:rPr>
      </w:pPr>
    </w:p>
    <w:p w:rsidR="004F2AF2" w:rsidRDefault="004F2AF2" w:rsidP="004F2AF2">
      <w:pPr>
        <w:pStyle w:val="Bodytext90"/>
        <w:spacing w:after="0"/>
      </w:pPr>
    </w:p>
    <w:p w:rsidR="004F2AF2" w:rsidRDefault="004F2AF2" w:rsidP="004F2AF2">
      <w:pPr>
        <w:pStyle w:val="BodyText"/>
      </w:pPr>
      <w:r>
        <w:rPr>
          <w:rStyle w:val="BodyTextChar"/>
        </w:rPr>
        <w:t xml:space="preserve">Комитетът на министрите, съгласно разпоредбите на членове 24 до 26 от Рамковата конвенция за защита на националните малцинства (наричана по-долу „Рамковата конвенция“),</w:t>
      </w:r>
    </w:p>
    <w:p w:rsidR="004F2AF2" w:rsidRDefault="004F2AF2" w:rsidP="004F2AF2">
      <w:pPr>
        <w:pStyle w:val="BodyText"/>
      </w:pPr>
      <w:r>
        <w:rPr>
          <w:rStyle w:val="BodyTextChar"/>
        </w:rPr>
        <w:t xml:space="preserve">Като се има предвид Резолюция</w:t>
      </w:r>
      <w:hyperlink r:id="rId9" w:history="1">
        <w:r>
          <w:rPr>
            <w:rStyle w:val="Hyperlink"/>
          </w:rPr>
          <w:t xml:space="preserve"> CM/Res(2019)49 </w:t>
        </w:r>
      </w:hyperlink>
      <w:r>
        <w:rPr>
          <w:rStyle w:val="BodyTextChar"/>
        </w:rPr>
        <w:t xml:space="preserve">от 11 декември 2019 г. относно преразгледаните договорености за мониторинг съгласно членове 24 до 26 от Рамковата конвенция;</w:t>
      </w:r>
    </w:p>
    <w:p w:rsidR="004F2AF2" w:rsidRDefault="004F2AF2" w:rsidP="004F2AF2">
      <w:pPr>
        <w:pStyle w:val="BodyText"/>
      </w:pPr>
      <w:r>
        <w:rPr>
          <w:rStyle w:val="BodyTextChar"/>
        </w:rPr>
        <w:t xml:space="preserve">Като се има предвид приложимото правило за гласуване;</w:t>
      </w:r>
      <w:r>
        <w:rPr>
          <w:rStyle w:val="BodyTextChar"/>
          <w:vertAlign w:val="superscript"/>
        </w:rPr>
        <w:t xml:space="preserve">1</w:t>
      </w:r>
    </w:p>
    <w:p w:rsidR="004F2AF2" w:rsidRDefault="004F2AF2" w:rsidP="004F2AF2">
      <w:pPr>
        <w:pStyle w:val="BodyText"/>
      </w:pPr>
      <w:r>
        <w:rPr>
          <w:rStyle w:val="BodyTextChar"/>
        </w:rPr>
        <w:t xml:space="preserve">Като се има предвид инструмента за ратификация, депозиран от България на 7 май 1999 г.;</w:t>
      </w:r>
    </w:p>
    <w:p w:rsidR="004F2AF2" w:rsidRDefault="004F2AF2" w:rsidP="004F2AF2">
      <w:pPr>
        <w:pStyle w:val="BodyText"/>
      </w:pPr>
      <w:r>
        <w:rPr>
          <w:rStyle w:val="BodyTextChar"/>
        </w:rPr>
        <w:t xml:space="preserve">Като припомня, че правителството на България предаде своя държавен доклад по отношение на петия цикъл на мониторинг по Рамковата конвенция на 22 октомври 2021 г.;</w:t>
      </w:r>
    </w:p>
    <w:p w:rsidR="004F2AF2" w:rsidRDefault="004F2AF2" w:rsidP="004F2AF2">
      <w:pPr>
        <w:pStyle w:val="BodyText"/>
      </w:pPr>
      <w:r>
        <w:rPr>
          <w:rStyle w:val="BodyTextChar"/>
        </w:rPr>
        <w:t xml:space="preserve">След като разгледа петото становище на Консултативния комитет за България, прието на 29 май 2024 г., както и писмените коментари на правителството на България, получени на 4 октомври 2024 г.,</w:t>
      </w:r>
    </w:p>
    <w:p w:rsidR="004F2AF2" w:rsidRDefault="004F2AF2" w:rsidP="004F2AF2">
      <w:pPr>
        <w:pStyle w:val="BodyText"/>
      </w:pPr>
      <w:r>
        <w:rPr>
          <w:rStyle w:val="BodyTextChar"/>
        </w:rPr>
        <w:t xml:space="preserve">Приема следните заключения по отношение на България:</w:t>
      </w:r>
    </w:p>
    <w:p w:rsidR="004F2AF2" w:rsidRDefault="004F2AF2" w:rsidP="004F2AF2">
      <w:pPr>
        <w:pStyle w:val="BodyText"/>
      </w:pPr>
      <w:r>
        <w:rPr>
          <w:rStyle w:val="BodyTextChar"/>
        </w:rPr>
        <w:t xml:space="preserve">Властите се призовават да вземат предвид забележките и препоръките, съдържащи се в петото становище на Консултативния комитет.</w:t>
      </w:r>
      <w:r>
        <w:rPr>
          <w:rStyle w:val="BodyTextChar"/>
        </w:rPr>
        <w:t xml:space="preserve"> </w:t>
      </w:r>
      <w:r>
        <w:rPr>
          <w:rStyle w:val="BodyTextChar"/>
        </w:rPr>
        <w:t xml:space="preserve">По-специално те следва да предприемат следните мерки за по-нататъшно подобряване на прилагането на Рамковата конвенция:</w:t>
      </w:r>
    </w:p>
    <w:p w:rsidR="004F2AF2" w:rsidRDefault="004F2AF2" w:rsidP="004F2AF2">
      <w:pPr>
        <w:pStyle w:val="BodyText"/>
      </w:pPr>
      <w:r>
        <w:rPr>
          <w:rStyle w:val="BodyTextChar"/>
          <w:b/>
        </w:rPr>
        <w:t xml:space="preserve">Препоръки за незабавни действия:</w:t>
      </w:r>
    </w:p>
    <w:p w:rsidR="004F2AF2" w:rsidRDefault="004F2AF2" w:rsidP="004F2AF2">
      <w:pPr>
        <w:pStyle w:val="BodyText"/>
        <w:numPr>
          <w:ilvl w:val="0"/>
          <w:numId w:val="1"/>
        </w:numPr>
        <w:tabs>
          <w:tab w:val="left" w:pos="710"/>
        </w:tabs>
      </w:pPr>
      <w:r>
        <w:rPr>
          <w:rStyle w:val="BodyTextChar"/>
        </w:rPr>
        <w:t xml:space="preserve">ефективно да се преодолее липсата на документи за самоличност, по-специално сред лицата, принадлежащи към ромското</w:t>
      </w:r>
      <w:r>
        <w:rPr>
          <w:rStyle w:val="BodyTextChar"/>
          <w:sz w:val="13"/>
        </w:rPr>
        <w:t xml:space="preserve">* </w:t>
      </w:r>
      <w:r>
        <w:rPr>
          <w:rStyle w:val="BodyTextChar"/>
        </w:rPr>
        <w:t xml:space="preserve">малцинство, и да се гарантира, че това не представлява основание за дискриминация при достъпа до човешки права.</w:t>
      </w:r>
      <w:r>
        <w:rPr>
          <w:rStyle w:val="BodyTextChar"/>
        </w:rPr>
        <w:t xml:space="preserve"> </w:t>
      </w:r>
      <w:r>
        <w:rPr>
          <w:rStyle w:val="BodyTextChar"/>
        </w:rPr>
        <w:t xml:space="preserve">Като приветстваме неотдавнашното приемане на законодателната реформа относно адресната регистрация, която би могла да намали до известна степен пречките за кандидатстване за общинско жилищно настаняване или други съответни социални услуги, с които се сблъскват ромите, живеещи в незаконни жилища, властите се приканват да предоставят допълнителна информация относно прилагането на тези нови правила;</w:t>
      </w:r>
    </w:p>
    <w:p w:rsidR="004F2AF2" w:rsidRDefault="004F2AF2" w:rsidP="004F2AF2">
      <w:pPr>
        <w:pStyle w:val="BodyText"/>
        <w:numPr>
          <w:ilvl w:val="0"/>
          <w:numId w:val="1"/>
        </w:numPr>
        <w:tabs>
          <w:tab w:val="left" w:pos="710"/>
        </w:tabs>
      </w:pPr>
      <w:r>
        <w:rPr>
          <w:rStyle w:val="BodyTextChar"/>
        </w:rPr>
        <w:t xml:space="preserve">Системно да се насърчават културите на лицата, принадлежащи към малцинствени групи, и техните езици, включително чрез осигуряване на достатъчно, целево и устойчиво дългосрочно базово финансиране, необходимо за запазване, развитие и насърчаване на културите и идентичностите на тези лица, със специален акцент върху подкрепата и на числено по-малки групи;</w:t>
      </w:r>
    </w:p>
    <w:p w:rsidR="004F2AF2" w:rsidRDefault="004F2AF2" w:rsidP="004F2AF2"/>
    <w:p w:rsidR="004F2AF2" w:rsidRDefault="004F2AF2" w:rsidP="004F2AF2"/>
    <w:p w:rsidR="004F2AF2" w:rsidRDefault="004F2AF2" w:rsidP="004F2AF2"/>
    <w:p w:rsidR="00F93489" w:rsidRDefault="00000000">
      <w:pPr>
        <w:pStyle w:val="Bodytext20"/>
        <w:spacing w:after="0"/>
      </w:pPr>
      <w:r>
        <w:rPr>
          <w:rStyle w:val="Bodytext2"/>
          <w:sz w:val="20"/>
          <w:vertAlign w:val="superscript"/>
        </w:rPr>
        <w:t xml:space="preserve">1</w:t>
      </w:r>
      <w:r>
        <w:rPr>
          <w:rStyle w:val="Bodytext2"/>
        </w:rPr>
        <w:t xml:space="preserve"> На 17 септември 1997 г. Комитетът на министрите прие Решение</w:t>
      </w:r>
      <w:hyperlink r:id="rId10" w:history="1">
        <w:r>
          <w:rPr>
            <w:rStyle w:val="Hyperlink"/>
          </w:rPr>
          <w:t xml:space="preserve"> CM/Del/Dec(97)601/4.5</w:t>
        </w:r>
      </w:hyperlink>
      <w:r>
        <w:rPr>
          <w:rStyle w:val="Bodytext2"/>
        </w:rPr>
        <w:t xml:space="preserve">, което предвижда:</w:t>
      </w:r>
      <w:r>
        <w:rPr>
          <w:rStyle w:val="Bodytext2"/>
        </w:rPr>
        <w:t xml:space="preserve"> </w:t>
      </w:r>
      <w:r>
        <w:rPr>
          <w:rStyle w:val="Bodytext2"/>
        </w:rPr>
        <w:t xml:space="preserve">„Решенията съгласно членове 24.1 и 25.2 от Рамковата конвенция се считат за приети, ако две трети от представителите на договарящите се страни, които гласуват, включително мнозинството от представителите на договарящите се страни, които имат право да заседават в Комитета на министрите, гласуват в подкрепа“.</w:t>
      </w:r>
    </w:p>
    <w:p w:rsidR="00F93489" w:rsidRDefault="00000000">
      <w:pPr>
        <w:pStyle w:val="Bodytext20"/>
        <w:spacing w:after="140" w:line="259" w:lineRule="auto"/>
      </w:pPr>
      <w:r>
        <w:rPr>
          <w:rStyle w:val="Bodytext2"/>
          <w:sz w:val="10"/>
        </w:rPr>
        <w:t xml:space="preserve">* </w:t>
      </w:r>
      <w:r>
        <w:rPr>
          <w:rStyle w:val="Bodytext2"/>
        </w:rPr>
        <w:t xml:space="preserve">Терминът „роми и пътници“ се използва в Съвета на Европа, за да обхване голямото разнообразие от групи, включени в работата на Съвета на Европа в тази област: от една страна а) роми, синти/мануш, кале, каале, романихали, бояши/рудари; б) балкански египтяни и ашкали; в) източни групи (дом/гарачи, лом/боша и абдал); и, от друга страна, групи като пътешественици, йениш и населението, определено под административния термин „Gens du voyage“, както и лица, които се самоидентифицират като цигани.</w:t>
      </w:r>
      <w:r>
        <w:rPr>
          <w:rStyle w:val="Bodytext2"/>
        </w:rPr>
        <w:t xml:space="preserve"> </w:t>
      </w:r>
      <w:r>
        <w:rPr>
          <w:rStyle w:val="Bodytext2"/>
        </w:rPr>
        <w:t xml:space="preserve">Настоящето е обяснителна бележка под линия, а не определение за роми и/или пътешественици.</w:t>
      </w:r>
    </w:p>
    <w:p w:rsidR="00F93489" w:rsidRDefault="00000000">
      <w:pPr>
        <w:pStyle w:val="Bodytext20"/>
        <w:spacing w:after="0"/>
      </w:pPr>
      <w:r>
        <w:rPr>
          <w:rStyle w:val="Bodytext2"/>
        </w:rPr>
        <w:t xml:space="preserve">Уебсайт: </w:t>
      </w:r>
      <w:hyperlink r:id="rId11" w:history="1">
        <w:r>
          <w:rPr>
            <w:rStyle w:val="Hyperlink"/>
          </w:rPr>
          <w:t xml:space="preserve">www.coe.int/cm</w:t>
        </w:r>
      </w:hyperlink>
    </w:p>
    <w:p w:rsidR="004F2AF2" w:rsidRDefault="004F2AF2">
      <w:pPr>
        <w:pStyle w:val="Bodytext20"/>
        <w:spacing w:after="0"/>
      </w:pPr>
    </w:p>
    <w:p w:rsidR="004F2AF2" w:rsidRDefault="004F2AF2">
      <w:pPr>
        <w:pStyle w:val="Bodytext20"/>
        <w:spacing w:after="0"/>
      </w:pPr>
    </w:p>
    <w:p w:rsidR="004F2AF2" w:rsidRDefault="004F2AF2">
      <w:pPr>
        <w:pStyle w:val="Bodytext20"/>
        <w:spacing w:after="0"/>
      </w:pPr>
    </w:p>
    <w:p w:rsidR="004F2AF2" w:rsidRDefault="004F2AF2">
      <w:pPr>
        <w:pStyle w:val="Bodytext20"/>
        <w:spacing w:after="0"/>
      </w:pPr>
    </w:p>
    <w:p w:rsidR="004F2AF2" w:rsidRDefault="00000000">
      <w:pPr>
        <w:pStyle w:val="Bodytext30"/>
        <w:tabs>
          <w:tab w:val="left" w:pos="4762"/>
        </w:tabs>
        <w:rPr>
          <w:rStyle w:val="Bodytext3"/>
        </w:rPr>
      </w:pPr>
      <w:r>
        <w:rPr>
          <w:rStyle w:val="Bodytext3"/>
        </w:rPr>
        <w:t xml:space="preserve">CM/ResCMN(2026)1</w:t>
      </w:r>
    </w:p>
    <w:p w:rsidR="00F93489" w:rsidRDefault="00000000">
      <w:pPr>
        <w:pStyle w:val="BodyText"/>
        <w:numPr>
          <w:ilvl w:val="0"/>
          <w:numId w:val="2"/>
        </w:numPr>
        <w:tabs>
          <w:tab w:val="left" w:pos="715"/>
        </w:tabs>
      </w:pPr>
      <w:r>
        <w:rPr>
          <w:rStyle w:val="BodyTextChar"/>
        </w:rPr>
        <w:t xml:space="preserve">да се продължат и увеличават усилията чрез предприемане на конкретни стъпки за насърчаване на доверието, взаимното уважение и разбирателство по отношение на лицата, принадлежащи към всички малцинствени групи, чрез, наред с другото, дейности за повишаване на осведомеността сред общото население с цел борба с предразсъдъците и стереотипите спрямо лицата, принадлежащи към малцинствени групи.</w:t>
      </w:r>
      <w:r>
        <w:rPr>
          <w:rStyle w:val="BodyTextChar"/>
        </w:rPr>
        <w:t xml:space="preserve"> </w:t>
      </w:r>
      <w:r>
        <w:rPr>
          <w:rStyle w:val="BodyTextChar"/>
        </w:rPr>
        <w:t xml:space="preserve">Тези усилия трябва да са насочени към насърчаване на приемането на тези групи и лицата, принадлежащи към тях, като неразделна и ценна част от българското общество.</w:t>
      </w:r>
      <w:r>
        <w:rPr>
          <w:rStyle w:val="BodyTextChar"/>
        </w:rPr>
        <w:t xml:space="preserve"> </w:t>
      </w:r>
      <w:r>
        <w:rPr>
          <w:rStyle w:val="BodyTextChar"/>
        </w:rPr>
        <w:t xml:space="preserve">Властите трябва да продължат систематичното обучение на полицията за предотвратяване на насилието срещу ромите от страна на полицията.</w:t>
      </w:r>
      <w:r>
        <w:rPr>
          <w:rStyle w:val="BodyTextChar"/>
        </w:rPr>
        <w:t xml:space="preserve"> </w:t>
      </w:r>
      <w:r>
        <w:rPr>
          <w:rStyle w:val="BodyTextChar"/>
        </w:rPr>
        <w:t xml:space="preserve">Те следва също така да засилят предпазните мерки срещу малтретиране от страна на полицията и да предприемат стъпки за подобряване на ефективността на разследванията и дисциплинарните производства в такива ситуации;</w:t>
      </w:r>
    </w:p>
    <w:p w:rsidR="00F93489" w:rsidRDefault="00000000">
      <w:pPr>
        <w:pStyle w:val="BodyText"/>
        <w:numPr>
          <w:ilvl w:val="0"/>
          <w:numId w:val="2"/>
        </w:numPr>
        <w:tabs>
          <w:tab w:val="left" w:pos="715"/>
        </w:tabs>
      </w:pPr>
      <w:r>
        <w:rPr>
          <w:rStyle w:val="BodyTextChar"/>
        </w:rPr>
        <w:t xml:space="preserve">да се насърчава преподаването и изучаването на езиците на лицата, принадлежащи към малцинствени групи.</w:t>
      </w:r>
      <w:r>
        <w:rPr>
          <w:rStyle w:val="BodyTextChar"/>
        </w:rPr>
        <w:t xml:space="preserve"> </w:t>
      </w:r>
      <w:r>
        <w:rPr>
          <w:rStyle w:val="BodyTextChar"/>
        </w:rPr>
        <w:t xml:space="preserve">Нивото на търсене на преподаване на турски, ромски, арменски и иврит в райони, където лицата, принадлежащи към тези малцинствени групи, живеят в значителен брой, трябва да бъде оценявано редовно.</w:t>
      </w:r>
      <w:r>
        <w:rPr>
          <w:rStyle w:val="BodyTextChar"/>
        </w:rPr>
        <w:t xml:space="preserve"> </w:t>
      </w:r>
      <w:r>
        <w:rPr>
          <w:rStyle w:val="BodyTextChar"/>
        </w:rPr>
        <w:t xml:space="preserve">След такава оценка властите следва да вземат решение за подходящите мерки, свързани с преподаването на тези езици.</w:t>
      </w:r>
      <w:r>
        <w:rPr>
          <w:rStyle w:val="BodyTextChar"/>
        </w:rPr>
        <w:t xml:space="preserve"> </w:t>
      </w:r>
      <w:r>
        <w:rPr>
          <w:rStyle w:val="BodyTextChar"/>
        </w:rPr>
        <w:t xml:space="preserve">Властите трябва да разширят тази процедура до езиците на други малцинствени групи, традиционно присъстващи в България, и да разработят дългосрочна стратегия за осигуряване на приемственост в езиковото образование на малцинствата, от предучилищното до висшето образование, включително производството на учебни материали.</w:t>
      </w:r>
      <w:r>
        <w:rPr>
          <w:rStyle w:val="BodyTextChar"/>
        </w:rPr>
        <w:t xml:space="preserve"> </w:t>
      </w:r>
      <w:r>
        <w:rPr>
          <w:rStyle w:val="BodyTextChar"/>
        </w:rPr>
        <w:t xml:space="preserve">Те следва допълнително да повишат осведомеността и да предоставят стимули за изучаване на ромски език, както и да въведат обучение на учители на университетско равнище по малцинствени езици, особено ромски.</w:t>
      </w:r>
      <w:r>
        <w:rPr>
          <w:rStyle w:val="BodyTextChar"/>
        </w:rPr>
        <w:t xml:space="preserve"> </w:t>
      </w:r>
      <w:r>
        <w:rPr>
          <w:rStyle w:val="BodyTextChar"/>
        </w:rPr>
        <w:t xml:space="preserve">Тези стъпки следва да се предприемат в тясна консултация с представители на съответните малцинствени групи, включително младежите;</w:t>
      </w:r>
    </w:p>
    <w:p w:rsidR="00F93489" w:rsidRDefault="00000000">
      <w:pPr>
        <w:pStyle w:val="BodyText"/>
        <w:numPr>
          <w:ilvl w:val="0"/>
          <w:numId w:val="2"/>
        </w:numPr>
        <w:tabs>
          <w:tab w:val="left" w:pos="715"/>
        </w:tabs>
      </w:pPr>
      <w:r>
        <w:rPr>
          <w:rStyle w:val="BodyTextChar"/>
        </w:rPr>
        <w:t xml:space="preserve">да се подобри жилищното положение на лицата, принадлежащи към ромското малцинство, включително чрез осигуряване на инвестиции за гарантиране на достъпа им до питейна вода и електричество, както и всички други обществени услуги.</w:t>
      </w:r>
      <w:r>
        <w:rPr>
          <w:rStyle w:val="BodyTextChar"/>
        </w:rPr>
        <w:t xml:space="preserve"> </w:t>
      </w:r>
      <w:r>
        <w:rPr>
          <w:rStyle w:val="BodyTextChar"/>
        </w:rPr>
        <w:t xml:space="preserve">Властите трябва да обърнат специално внимание на осигуряването на безопасни условия на живот, като се има предвид и рисковете, породени от липсата на правна сигурност на жилищата.</w:t>
      </w:r>
    </w:p>
    <w:p w:rsidR="00F93489" w:rsidRDefault="00000000">
      <w:pPr>
        <w:pStyle w:val="BodyText"/>
      </w:pPr>
      <w:r>
        <w:rPr>
          <w:rStyle w:val="BodyTextChar"/>
          <w:b/>
        </w:rPr>
        <w:t xml:space="preserve">Допълнителни препоръки:</w:t>
      </w:r>
      <w:r>
        <w:rPr>
          <w:rStyle w:val="BodyTextChar"/>
          <w:vertAlign w:val="superscript"/>
        </w:rPr>
        <w:t xml:space="preserve">2</w:t>
      </w:r>
    </w:p>
    <w:p w:rsidR="00F93489" w:rsidRDefault="00000000">
      <w:pPr>
        <w:pStyle w:val="BodyText"/>
        <w:numPr>
          <w:ilvl w:val="0"/>
          <w:numId w:val="2"/>
        </w:numPr>
        <w:tabs>
          <w:tab w:val="left" w:pos="715"/>
        </w:tabs>
      </w:pPr>
      <w:r>
        <w:rPr>
          <w:rStyle w:val="BodyTextChar"/>
        </w:rPr>
        <w:t xml:space="preserve">да се прилага приобщаващ подход по отношение на личния обхват на прилагане на Рамковата конвенция, да се влезе в диалог с групи, които са изразили интерес към защитата, предоставена от Рамковата конвенция, и да се обмисли възможността за прилагане на нейните разпоредби по отношение на лицата, принадлежащи към такива групи, по членове;</w:t>
      </w:r>
    </w:p>
    <w:p w:rsidR="00F93489" w:rsidRDefault="00000000">
      <w:pPr>
        <w:pStyle w:val="BodyText"/>
        <w:numPr>
          <w:ilvl w:val="0"/>
          <w:numId w:val="2"/>
        </w:numPr>
        <w:tabs>
          <w:tab w:val="left" w:pos="715"/>
        </w:tabs>
      </w:pPr>
      <w:r>
        <w:rPr>
          <w:rStyle w:val="BodyTextChar"/>
        </w:rPr>
        <w:t xml:space="preserve">да се продължи осигуряването на защита срещу дискриминация, както и насърчаването и защитата на правата на малцинствата.</w:t>
      </w:r>
      <w:r>
        <w:rPr>
          <w:rStyle w:val="BodyTextChar"/>
        </w:rPr>
        <w:t xml:space="preserve"> </w:t>
      </w:r>
      <w:r>
        <w:rPr>
          <w:rStyle w:val="BodyTextChar"/>
        </w:rPr>
        <w:t xml:space="preserve">Следва да се положат усилия за повишаване на осведомеността сред населението и по-специално сред лицата, принадлежащи към общности, които са най-често изложени на дискриминация, като например ромите, относно законодателните стандарти и средствата за правна защита, достъпни за жертвите на дискриминация.</w:t>
      </w:r>
      <w:r>
        <w:rPr>
          <w:rStyle w:val="BodyTextChar"/>
        </w:rPr>
        <w:t xml:space="preserve"> </w:t>
      </w:r>
      <w:r>
        <w:rPr>
          <w:rStyle w:val="BodyTextChar"/>
        </w:rPr>
        <w:t xml:space="preserve">Това включва осигуряване на адекватно обучение на служителите в държавните институции.</w:t>
      </w:r>
      <w:r>
        <w:rPr>
          <w:rStyle w:val="BodyTextChar"/>
        </w:rPr>
        <w:t xml:space="preserve"> </w:t>
      </w:r>
      <w:r>
        <w:rPr>
          <w:rStyle w:val="BodyTextChar"/>
        </w:rPr>
        <w:t xml:space="preserve">Комисията за защита от дискриминация и институцията на омбудсмана също трябва да бъдат адекватно подготвени за повишаване на осведомеността за съответните им мандати сред лицата, принадлежащи към малцинствени групи, и да бъдат по-проактивни в достигането до тях, включително на техните езици;</w:t>
      </w:r>
    </w:p>
    <w:p w:rsidR="00F93489" w:rsidRDefault="00000000">
      <w:pPr>
        <w:pStyle w:val="BodyText"/>
        <w:numPr>
          <w:ilvl w:val="0"/>
          <w:numId w:val="2"/>
        </w:numPr>
        <w:tabs>
          <w:tab w:val="left" w:pos="715"/>
        </w:tabs>
      </w:pPr>
      <w:r>
        <w:rPr>
          <w:rStyle w:val="BodyTextChar"/>
        </w:rPr>
        <w:t xml:space="preserve">да се гарантира ефективното изпълнение на „Националната стратегия за равенство, приобщаване и участие на ромите (2021-2030 г.)“ чрез тясно сътрудничество с всички съответни участници, включително общинските органи, и чрез осигуряване на подходящи човешки и финансови ресурси чрез разпределен бюджет за органите на всички равнища, за да се отговори на различните нужди и опасения на ромите.</w:t>
      </w:r>
      <w:r>
        <w:rPr>
          <w:rStyle w:val="BodyTextChar"/>
        </w:rPr>
        <w:t xml:space="preserve"> </w:t>
      </w:r>
      <w:r>
        <w:rPr>
          <w:rStyle w:val="BodyTextChar"/>
        </w:rPr>
        <w:t xml:space="preserve">Властите следва да разработят мерки за справяне с антициганизма и интегрирането на равенството между половете във всички области, обхванати от стратегията;</w:t>
      </w:r>
    </w:p>
    <w:p w:rsidR="00F93489" w:rsidRDefault="00000000" w:rsidP="004F2AF2">
      <w:pPr>
        <w:pStyle w:val="BodyText"/>
        <w:numPr>
          <w:ilvl w:val="0"/>
          <w:numId w:val="2"/>
        </w:numPr>
        <w:tabs>
          <w:tab w:val="left" w:pos="715"/>
        </w:tabs>
        <w:spacing w:after="400"/>
      </w:pPr>
      <w:r>
        <w:rPr>
          <w:rStyle w:val="BodyTextChar"/>
        </w:rPr>
        <w:t xml:space="preserve">да се гарантира, че изселването на роми от неформални жилища се извършва само като крайна мярка, в пълно съответствие с принципите на недискриминация, пропорционалност и върховенство на закона.</w:t>
      </w:r>
      <w:r>
        <w:rPr>
          <w:rStyle w:val="BodyTextChar"/>
        </w:rPr>
        <w:t xml:space="preserve"> </w:t>
      </w:r>
      <w:r>
        <w:rPr>
          <w:rStyle w:val="BodyTextChar"/>
        </w:rPr>
        <w:t xml:space="preserve">Необходимото законодателство, съдържащо всички съответни правни гаранции, трябва бързо да бъде прието, за да се гарантират тези защити.</w:t>
      </w:r>
      <w:r>
        <w:rPr>
          <w:rStyle w:val="BodyTextChar"/>
        </w:rPr>
        <w:t xml:space="preserve"> </w:t>
      </w:r>
      <w:r>
        <w:rPr>
          <w:rStyle w:val="BodyTextChar"/>
        </w:rPr>
        <w:t xml:space="preserve">В случай на разрушаване на ромски селища, засегнатите лица трябва да бъдат надлежно информирани за правата си и да им бъде осигурено адекватно и достойно алтернативно настаняване като постоянно решение.</w:t>
      </w:r>
      <w:r>
        <w:rPr>
          <w:rStyle w:val="BodyTextChar"/>
        </w:rPr>
        <w:t xml:space="preserve"> </w:t>
      </w:r>
      <w:r>
        <w:rPr>
          <w:rStyle w:val="BodyTextChar"/>
        </w:rPr>
        <w:t xml:space="preserve">Специализиран орган следва да наблюдава тези развития, като гарантира отчетност и прилага санкции, ако задълженията не бъдат изпълнени;</w:t>
      </w:r>
    </w:p>
    <w:p w:rsidR="004F2AF2" w:rsidRDefault="00000000">
      <w:pPr>
        <w:pStyle w:val="Bodytext20"/>
        <w:numPr>
          <w:ilvl w:val="0"/>
          <w:numId w:val="3"/>
        </w:numPr>
        <w:tabs>
          <w:tab w:val="left" w:pos="715"/>
        </w:tabs>
        <w:jc w:val="both"/>
        <w:rPr>
          <w:rStyle w:val="Bodytext2"/>
        </w:rPr>
      </w:pPr>
      <w:r>
        <w:rPr>
          <w:rStyle w:val="Bodytext2"/>
        </w:rPr>
        <w:t xml:space="preserve">Препоръките по-долу са изброени по реда на съответните членове на Рамковата конвенция.</w:t>
      </w:r>
    </w:p>
    <w:p w:rsidR="004F2AF2" w:rsidRDefault="004F2AF2" w:rsidP="004F2AF2">
      <w:pPr>
        <w:pStyle w:val="Bodytext20"/>
        <w:tabs>
          <w:tab w:val="left" w:pos="715"/>
        </w:tabs>
        <w:jc w:val="both"/>
        <w:rPr>
          <w:rStyle w:val="Bodytext2"/>
        </w:rPr>
      </w:pPr>
    </w:p>
    <w:p w:rsidR="00F93489" w:rsidRDefault="00000000">
      <w:pPr>
        <w:pStyle w:val="BodyText"/>
        <w:numPr>
          <w:ilvl w:val="0"/>
          <w:numId w:val="4"/>
        </w:numPr>
        <w:tabs>
          <w:tab w:val="left" w:pos="950"/>
        </w:tabs>
        <w:spacing w:line="229" w:lineRule="exact"/>
        <w:ind w:left="240"/>
      </w:pPr>
      <w:r>
        <w:rPr>
          <w:rStyle w:val="BodyTextChar"/>
        </w:rPr>
        <w:t xml:space="preserve">да се гарантира, че лицата, принадлежащи към различни общности, могат пълноценно и ефективно да упражняват свободата на сдружаване, както е гарантирано от член 7 от Рамковата конвенция.</w:t>
      </w:r>
      <w:r>
        <w:rPr>
          <w:rStyle w:val="BodyTextChar"/>
        </w:rPr>
        <w:t xml:space="preserve"> </w:t>
      </w:r>
      <w:r>
        <w:rPr>
          <w:rStyle w:val="BodyTextChar"/>
        </w:rPr>
        <w:t xml:space="preserve">Процедурите за регистрация следва да останат ясни, прозрачни и да се прилагат последователно, като се основават на Насоките за сдруженията относно правните изисквания за регистрация, публикувани на 27 юни 2025 г.;</w:t>
      </w:r>
    </w:p>
    <w:p w:rsidR="00F93489" w:rsidRDefault="00000000">
      <w:pPr>
        <w:pStyle w:val="BodyText"/>
        <w:numPr>
          <w:ilvl w:val="0"/>
          <w:numId w:val="4"/>
        </w:numPr>
        <w:tabs>
          <w:tab w:val="left" w:pos="950"/>
        </w:tabs>
        <w:spacing w:line="230" w:lineRule="exact"/>
        <w:ind w:left="240"/>
      </w:pPr>
      <w:r>
        <w:rPr>
          <w:rStyle w:val="BodyTextChar"/>
        </w:rPr>
        <w:t xml:space="preserve">да се оценява, без по-нататъшно забавяне, необходимостта от устно и писмено използване на езиците на лицата, принадлежащи към малцинствени групи, в контакт с административните органи в райони, обитавани от тези лица традиционно или в значителен брой.</w:t>
      </w:r>
      <w:r>
        <w:rPr>
          <w:rStyle w:val="BodyTextChar"/>
        </w:rPr>
        <w:t xml:space="preserve"> </w:t>
      </w:r>
      <w:r>
        <w:rPr>
          <w:rStyle w:val="BodyTextChar"/>
        </w:rPr>
        <w:t xml:space="preserve">По този начин властите следва да определят, в съответствие с ясно установени критерии, общините, в които се прилага член 10.2 от Рамковата конвенция за съответните малцинствени групи, и да гарантират прилагането на тази разпоредба, включително чрез финансово подпомагане на местните и регионалните власти за покриване на разходите за предоставяне на услуги на езиците на лицата, принадлежащи към малцинствени групи, и като изрично позволяват целенасоченото назначаване на служители, които владеят малцинствени езици;</w:t>
      </w:r>
    </w:p>
    <w:p w:rsidR="00F93489" w:rsidRDefault="00000000">
      <w:pPr>
        <w:pStyle w:val="BodyText"/>
        <w:numPr>
          <w:ilvl w:val="0"/>
          <w:numId w:val="4"/>
        </w:numPr>
        <w:tabs>
          <w:tab w:val="left" w:pos="950"/>
        </w:tabs>
        <w:spacing w:line="230" w:lineRule="exact"/>
        <w:ind w:left="240"/>
      </w:pPr>
      <w:r>
        <w:rPr>
          <w:rStyle w:val="BodyTextChar"/>
        </w:rPr>
        <w:t xml:space="preserve">да се идентифицират и прилагат дългосрочни устойчиви решения, в сътрудничество с представители на малцинствата, училища, родители и ученици, за подобряване на достъпа до качествено образование за ромските деца, чрез събиране на надеждна информация, съсредоточена особено върху различните форми на образователна сегрегация, каквито съществуват на практика, посещаемостта и процента на отпадане на ромските деца, както и техните образователни резултати.</w:t>
      </w:r>
      <w:r>
        <w:rPr>
          <w:rStyle w:val="BodyTextChar"/>
        </w:rPr>
        <w:t xml:space="preserve"> </w:t>
      </w:r>
      <w:r>
        <w:rPr>
          <w:rStyle w:val="BodyTextChar"/>
        </w:rPr>
        <w:t xml:space="preserve">Политиките, насочени към насърчаване на приобщаващото образование, следва да включват ясни цели, достатъчно ресурси, ясен график и механизъм за наблюдение за неговото прилагане.</w:t>
      </w:r>
      <w:r>
        <w:rPr>
          <w:rStyle w:val="BodyTextChar"/>
        </w:rPr>
        <w:t xml:space="preserve"> </w:t>
      </w:r>
      <w:r>
        <w:rPr>
          <w:rStyle w:val="BodyTextChar"/>
        </w:rPr>
        <w:t xml:space="preserve">Властите трябва допълнително да повишат осведомеността в българското общество относно значението на приобщаващото образование за социалното сближаване;</w:t>
      </w:r>
    </w:p>
    <w:p w:rsidR="00F93489" w:rsidRDefault="00000000">
      <w:pPr>
        <w:pStyle w:val="BodyText"/>
        <w:numPr>
          <w:ilvl w:val="0"/>
          <w:numId w:val="4"/>
        </w:numPr>
        <w:tabs>
          <w:tab w:val="left" w:pos="950"/>
        </w:tabs>
        <w:spacing w:line="230" w:lineRule="exact"/>
        <w:ind w:left="240"/>
      </w:pPr>
      <w:r>
        <w:rPr>
          <w:rStyle w:val="BodyTextChar"/>
        </w:rPr>
        <w:t xml:space="preserve">ясно да се определи, включително чрез законодателен текст, разработен в ефективна консултация с широк кръг от съответни НПО, насърчаващи достъпа до права на малцинствата, и различни представители на малцинствата, ролята и институционалното положение на Националния съвет за сътрудничество по въпросите на етническата интеграция, за да се осигури постоянно и ефективно участие на лицата, принадлежащи към малцинствени групи, в процесите на вземане на решения.</w:t>
      </w:r>
      <w:r>
        <w:rPr>
          <w:rStyle w:val="BodyTextChar"/>
        </w:rPr>
        <w:t xml:space="preserve"> </w:t>
      </w:r>
      <w:r>
        <w:rPr>
          <w:rStyle w:val="BodyTextChar"/>
        </w:rPr>
        <w:t xml:space="preserve">Особено внимание следва да се обърне на изясняването на припокриващите се компетенции, по-специално между функцията на Съвета като консултативен орган по общите политики за малцинствата и неговата роля в мониторинга на изпълнението на Националната стратегия за ромите.</w:t>
      </w:r>
      <w:r>
        <w:rPr>
          <w:rStyle w:val="BodyTextChar"/>
        </w:rPr>
        <w:t xml:space="preserve"> </w:t>
      </w:r>
      <w:r>
        <w:rPr>
          <w:rStyle w:val="BodyTextChar"/>
        </w:rPr>
        <w:t xml:space="preserve">Националният съвет трябва да бъде възможно най-приобщаващ и действително да представя широк спектър от възгледи сред лицата, принадлежащи към малцинствени групи.</w:t>
      </w:r>
      <w:r>
        <w:rPr>
          <w:rStyle w:val="BodyTextChar"/>
        </w:rPr>
        <w:t xml:space="preserve"> </w:t>
      </w:r>
      <w:r>
        <w:rPr>
          <w:rStyle w:val="BodyTextChar"/>
        </w:rPr>
        <w:t xml:space="preserve">Що се отнася до разширяването на компетенциите му, работата на Националния съвет трябва да бъде организирана по начин, който не е в ущърб на ролята му на единствена национална институция за решаване на проблемите на малцинствата;</w:t>
      </w:r>
    </w:p>
    <w:p w:rsidR="00F93489" w:rsidRDefault="00000000">
      <w:pPr>
        <w:pStyle w:val="BodyText"/>
        <w:numPr>
          <w:ilvl w:val="0"/>
          <w:numId w:val="4"/>
        </w:numPr>
        <w:tabs>
          <w:tab w:val="left" w:pos="950"/>
        </w:tabs>
        <w:spacing w:line="230" w:lineRule="exact"/>
        <w:ind w:left="240"/>
      </w:pPr>
      <w:r>
        <w:rPr>
          <w:rStyle w:val="BodyTextChar"/>
        </w:rPr>
        <w:t xml:space="preserve">да се позволи използването на езици, различни от българския, по време на предизборни кампании и да се намират ефективни начини, в консултация с лица, принадлежащи към национални малцинства, да се гарантира, че тези лица могат да се ползват от правото си на политическо участие и правото да получават и предават информация и идеи на малцинствени езици;</w:t>
      </w:r>
    </w:p>
    <w:p w:rsidR="00F93489" w:rsidRDefault="00000000" w:rsidP="004F2AF2">
      <w:pPr>
        <w:pStyle w:val="BodyText"/>
        <w:numPr>
          <w:ilvl w:val="0"/>
          <w:numId w:val="4"/>
        </w:numPr>
        <w:tabs>
          <w:tab w:val="left" w:pos="950"/>
        </w:tabs>
        <w:spacing w:line="230" w:lineRule="exact"/>
        <w:ind w:left="240"/>
        <w:rPr>
          <w:rStyle w:val="BodyTextChar"/>
        </w:rPr>
      </w:pPr>
      <w:r>
        <w:rPr>
          <w:rStyle w:val="BodyTextChar"/>
        </w:rPr>
        <w:t xml:space="preserve">да се прилагат програми за заетост на ромите в цялата страна и да се предприемат положителни мерки за насърчаване на заетостта на ромите в публичния и частния сектор.</w:t>
      </w:r>
    </w:p>
    <w:sectPr w:rsidR="00F93489" w:rsidSect="004F2AF2">
      <w:pgSz w:w="11900" w:h="16840" w:code="9"/>
      <w:pgMar w:top="1417" w:right="1417" w:bottom="1417" w:left="1417" w:header="67" w:footer="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813C2" w:rsidRDefault="005813C2">
      <w:r>
        <w:separator/>
      </w:r>
    </w:p>
  </w:endnote>
  <w:endnote w:type="continuationSeparator" w:id="0">
    <w:p w:rsidR="005813C2" w:rsidRDefault="00581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813C2" w:rsidRDefault="005813C2">
      <w:r>
        <w:separator/>
      </w:r>
    </w:p>
  </w:footnote>
  <w:footnote w:type="continuationSeparator" w:id="0">
    <w:p w:rsidR="005813C2" w:rsidRDefault="005813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1E3DBB"/>
    <w:multiLevelType w:val="multilevel"/>
    <w:tmpl w:val="FC421712"/>
    <w:lvl w:ilvl="0">
      <w:start w:val="10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5866EB6"/>
    <w:multiLevelType w:val="multilevel"/>
    <w:tmpl w:val="272C257A"/>
    <w:lvl w:ilvl="0">
      <w:start w:val="3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C0C306A"/>
    <w:multiLevelType w:val="multilevel"/>
    <w:tmpl w:val="138C5FC8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1C90A00"/>
    <w:multiLevelType w:val="multilevel"/>
    <w:tmpl w:val="BC92CF9E"/>
    <w:lvl w:ilvl="0">
      <w:start w:val="2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vertAlign w:val="superscript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345128867">
    <w:abstractNumId w:val="2"/>
  </w:num>
  <w:num w:numId="2" w16cid:durableId="2016564552">
    <w:abstractNumId w:val="1"/>
  </w:num>
  <w:num w:numId="3" w16cid:durableId="1693610830">
    <w:abstractNumId w:val="3"/>
  </w:num>
  <w:num w:numId="4" w16cid:durableId="14353242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dirty" w:grammar="dirty"/>
  <w:defaultTabStop w:val="720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3489"/>
    <w:rsid w:val="004F2AF2"/>
    <w:rsid w:val="005813C2"/>
    <w:rsid w:val="008E111B"/>
    <w:rsid w:val="00DC6FC3"/>
    <w:rsid w:val="00F93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EB17DA"/>
  <w15:docId w15:val="{B54CEC11-1291-4E68-B79C-6F542843C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bg-BG" w:eastAsia="en-US" w:bidi="en-US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2AF2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Other">
    <w:name w:val="Other_"/>
    <w:basedOn w:val="DefaultParagraphFont"/>
    <w:link w:val="Other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8">
    <w:name w:val="Body text (8)_"/>
    <w:basedOn w:val="DefaultParagraphFont"/>
    <w:link w:val="Bodytext80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9">
    <w:name w:val="Body text (9)_"/>
    <w:basedOn w:val="DefaultParagraphFont"/>
    <w:link w:val="Bodytext90"/>
    <w:rPr>
      <w:rFonts w:ascii="Arial Narrow" w:eastAsia="Arial Narrow" w:hAnsi="Arial Narrow" w:cs="Arial Narrow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BodyTextChar">
    <w:name w:val="Body Text Char"/>
    <w:basedOn w:val="DefaultParagraphFont"/>
    <w:link w:val="BodyText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2">
    <w:name w:val="Body text (2)_"/>
    <w:basedOn w:val="DefaultParagraphFont"/>
    <w:link w:val="Bodytext20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Bodytext3">
    <w:name w:val="Body text (3)_"/>
    <w:basedOn w:val="DefaultParagraphFont"/>
    <w:link w:val="Bodytext3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Other0">
    <w:name w:val="Other"/>
    <w:basedOn w:val="Normal"/>
    <w:link w:val="Other"/>
    <w:pPr>
      <w:spacing w:after="200"/>
    </w:pPr>
    <w:rPr>
      <w:rFonts w:ascii="Arial" w:eastAsia="Arial" w:hAnsi="Arial" w:cs="Arial"/>
      <w:sz w:val="20"/>
      <w:szCs w:val="20"/>
    </w:rPr>
  </w:style>
  <w:style w:type="paragraph" w:customStyle="1" w:styleId="Bodytext80">
    <w:name w:val="Body text (8)"/>
    <w:basedOn w:val="Normal"/>
    <w:link w:val="Bodytext8"/>
    <w:pPr>
      <w:spacing w:after="200"/>
    </w:pPr>
    <w:rPr>
      <w:rFonts w:ascii="Arial Narrow" w:eastAsia="Arial Narrow" w:hAnsi="Arial Narrow" w:cs="Arial Narrow"/>
      <w:b/>
      <w:bCs/>
      <w:sz w:val="28"/>
      <w:szCs w:val="28"/>
    </w:rPr>
  </w:style>
  <w:style w:type="paragraph" w:customStyle="1" w:styleId="Bodytext90">
    <w:name w:val="Body text (9)"/>
    <w:basedOn w:val="Normal"/>
    <w:link w:val="Bodytext9"/>
    <w:pPr>
      <w:spacing w:after="330" w:line="218" w:lineRule="auto"/>
    </w:pPr>
    <w:rPr>
      <w:rFonts w:ascii="Arial Narrow" w:eastAsia="Arial Narrow" w:hAnsi="Arial Narrow" w:cs="Arial Narrow"/>
      <w:i/>
      <w:iCs/>
      <w:sz w:val="22"/>
      <w:szCs w:val="22"/>
    </w:rPr>
  </w:style>
  <w:style w:type="paragraph" w:styleId="BodyText">
    <w:name w:val="Body Text"/>
    <w:basedOn w:val="Normal"/>
    <w:link w:val="BodyTextChar"/>
    <w:qFormat/>
    <w:pPr>
      <w:spacing w:after="200"/>
    </w:pPr>
    <w:rPr>
      <w:rFonts w:ascii="Arial" w:eastAsia="Arial" w:hAnsi="Arial" w:cs="Arial"/>
      <w:sz w:val="20"/>
      <w:szCs w:val="20"/>
    </w:rPr>
  </w:style>
  <w:style w:type="paragraph" w:customStyle="1" w:styleId="Bodytext20">
    <w:name w:val="Body text (2)"/>
    <w:basedOn w:val="Normal"/>
    <w:link w:val="Bodytext2"/>
    <w:pPr>
      <w:spacing w:after="200"/>
    </w:pPr>
    <w:rPr>
      <w:rFonts w:ascii="Arial" w:eastAsia="Arial" w:hAnsi="Arial" w:cs="Arial"/>
      <w:sz w:val="16"/>
      <w:szCs w:val="16"/>
    </w:rPr>
  </w:style>
  <w:style w:type="paragraph" w:customStyle="1" w:styleId="Bodytext30">
    <w:name w:val="Body text (3)"/>
    <w:basedOn w:val="Normal"/>
    <w:link w:val="Bodytext3"/>
    <w:pPr>
      <w:spacing w:after="300"/>
    </w:pPr>
    <w:rPr>
      <w:rFonts w:ascii="Arial" w:eastAsia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oe.int/cm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search.coe.int/cm/eng%23%7b%22CoEReference%22:%5b%22CM/Del/Dec(97)601/4.5%22%5d,%22CoELanguageId%22:%5b%22eng%22%5d,%22CoECollection%22:%5b%22COE_DOC%22%5d,%22po%22:%7b%22ref%22:%22=%22%7d%7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earch.coe.int/cm/eng%23%7b%22CoEReference%22:%5b%22CM/Res(2019)49%22%5d,%22CoELanguageId%22:%5b%22eng%22%5d,%22CoECollection%22:%5b%22COE_DOC%22%5d,%22po%22:%7b%22ref%22:%22=%22%7d%7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1783</Words>
  <Characters>10165</Characters>
  <Application>Microsoft Office Word</Application>
  <DocSecurity>0</DocSecurity>
  <Lines>84</Lines>
  <Paragraphs>23</Paragraphs>
  <ScaleCrop>false</ScaleCrop>
  <Company/>
  <LinksUpToDate>false</LinksUpToDate>
  <CharactersWithSpaces>11925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BOUTIER Emma</dc:creator>
  <cp:keywords/>
  <cp:lastModifiedBy>Linguist</cp:lastModifiedBy>
  <cp:revision>3</cp:revision>
  <dcterms:created xsi:type="dcterms:W3CDTF">2026-03-05T12:16:00Z</dcterms:created>
  <dcterms:modified xsi:type="dcterms:W3CDTF">2026-03-05T12:19:00Z</dcterms:modified>
</cp:coreProperties>
</file>